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2022 году (за отчетный 2021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2">
        <w:r>
          <w:rPr>
            <w:rStyle w:val="ListLabel6"/>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7"/>
        </w:numPr>
        <w:tabs>
          <w:tab w:val="clear" w:pos="709"/>
          <w:tab w:val="left" w:pos="426" w:leader="none"/>
        </w:tabs>
        <w:ind w:left="0" w:hanging="0"/>
        <w:jc w:val="center"/>
        <w:rPr>
          <w:rFonts w:ascii="Times New Roman" w:hAnsi="Times New Roman"/>
          <w:b/>
          <w:b/>
          <w:sz w:val="28"/>
          <w:szCs w:val="28"/>
        </w:rPr>
      </w:pPr>
      <w:r>
        <w:rPr>
          <w:rFonts w:ascii="Times New Roman" w:hAnsi="Times New Roman"/>
          <w:b/>
          <w:sz w:val="28"/>
          <w:szCs w:val="28"/>
        </w:rPr>
        <w:t>Представление сведений о доходах, расходах,</w:t>
      </w:r>
    </w:p>
    <w:p>
      <w:pPr>
        <w:pStyle w:val="ListParagraph"/>
        <w:ind w:left="0" w:firstLine="709"/>
        <w:jc w:val="center"/>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3"/>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3"/>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ListParagraph"/>
        <w:numPr>
          <w:ilvl w:val="0"/>
          <w:numId w:val="3"/>
        </w:numPr>
        <w:tabs>
          <w:tab w:val="clear" w:pos="709"/>
          <w:tab w:val="left" w:pos="567" w:leader="none"/>
        </w:tabs>
        <w:ind w:left="0" w:firstLine="567"/>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r>
          <w:rPr>
            <w:rStyle w:val="ListLabel6"/>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3"/>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r>
          <w:rPr>
            <w:rStyle w:val="ListLabel7"/>
          </w:rPr>
          <w:t>перечень</w:t>
        </w:r>
      </w:hyperlink>
      <w:r>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r>
          <w:rPr>
            <w:rStyle w:val="ListLabel6"/>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4"/>
        </w:numPr>
        <w:tabs>
          <w:tab w:val="clear" w:pos="709"/>
          <w:tab w:val="left" w:pos="0"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(поступающим на службу);</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4"/>
        </w:numPr>
        <w:tabs>
          <w:tab w:val="clear" w:pos="709"/>
          <w:tab w:val="left" w:pos="567" w:leader="none"/>
        </w:tabs>
        <w:ind w:left="0" w:firstLine="567"/>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r>
          <w:rPr>
            <w:rStyle w:val="ListLabel6"/>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4"/>
        </w:numPr>
        <w:tabs>
          <w:tab w:val="clear" w:pos="709"/>
          <w:tab w:val="left" w:pos="567" w:leader="none"/>
        </w:tabs>
        <w:ind w:left="0" w:firstLine="567"/>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r>
          <w:rPr>
            <w:rStyle w:val="ListLabel6"/>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ListParagraph"/>
        <w:numPr>
          <w:ilvl w:val="0"/>
          <w:numId w:val="1"/>
        </w:numPr>
        <w:tabs>
          <w:tab w:val="clear" w:pos="709"/>
          <w:tab w:val="left" w:pos="1134" w:leader="none"/>
        </w:tabs>
        <w:ind w:left="0" w:firstLine="567"/>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r>
          <w:rPr>
            <w:rStyle w:val="ListLabel6"/>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12 настоящих Методических рекомендаций.</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pPr>
        <w:pStyle w:val="ListParagraph"/>
        <w:numPr>
          <w:ilvl w:val="1"/>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2022 г. не требуется.</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val="04a0" w:noVBand="1" w:noHBand="0" w:lastColumn="0" w:firstColumn="1" w:lastRow="0" w:firstRow="1"/>
      </w:tblPr>
      <w:tblGrid>
        <w:gridCol w:w="3118"/>
        <w:gridCol w:w="7229"/>
      </w:tblGrid>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2022 году </w:t>
              <w:br/>
              <w:t>(за отчетный 2021 г.)</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2021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Брак заключен в ЗАГСе в марте 2022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2021 года) служащий (работник) не состоял в браке </w:t>
            </w:r>
          </w:p>
        </w:tc>
      </w:tr>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trPr>
          <w:trHeight w:val="660"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1 февраля 2022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trPr>
          <w:trHeight w:val="131"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2 августа 2022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val="0000" w:noVBand="0" w:noHBand="0" w:lastColumn="0" w:firstColumn="0" w:lastRow="0" w:firstRow="0"/>
      </w:tblPr>
      <w:tblGrid>
        <w:gridCol w:w="3146"/>
        <w:gridCol w:w="7201"/>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2022 году (за отчетный 2021 г.)</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в ноябре 2021 года</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2021 года и вступило в законную силу 12 января 2022 года</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в марте 2022 года </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1 июля 2022 года</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2022 года </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val="0000" w:noVBand="0" w:noHBand="0" w:lastColumn="0" w:firstColumn="0" w:lastRow="0" w:firstRow="0"/>
      </w:tblPr>
      <w:tblGrid>
        <w:gridCol w:w="3118"/>
        <w:gridCol w:w="7229"/>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2022 году (за отчетный 2021 г.)</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21 мая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30 декабря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31 декабря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гражданин представляет в сентябре 2022 года сведения в связи с назначением на должность. Отчетной датой является 1 августа 2022 года</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5 мая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1 августа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17 августа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2022 года) сын гражданина являлся несовершеннолетним </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val="04a0" w:noVBand="1" w:noHBand="0" w:lastColumn="0" w:firstColumn="1" w:lastRow="0" w:firstRow="1"/>
      </w:tblPr>
      <w:tblGrid>
        <w:gridCol w:w="3222"/>
        <w:gridCol w:w="7125"/>
      </w:tblGrid>
      <w:tr>
        <w:trPr/>
        <w:tc>
          <w:tcPr>
            <w:tcW w:w="322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22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В Департамент кадров Правительства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22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222"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rPr/>
        <w:tc>
          <w:tcPr>
            <w:tcW w:w="3222"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Normal"/>
        <w:ind w:firstLine="851"/>
        <w:rPr>
          <w:rFonts w:ascii="Times New Roman" w:hAnsi="Times New Roman"/>
          <w:sz w:val="28"/>
          <w:szCs w:val="28"/>
        </w:rPr>
      </w:pPr>
      <w:r>
        <w:rPr>
          <w:rFonts w:ascii="Times New Roman" w:hAnsi="Times New Roman"/>
          <w:sz w:val="28"/>
          <w:szCs w:val="28"/>
        </w:rPr>
      </w:r>
      <w:r>
        <w:br w:type="page"/>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left="0" w:firstLine="567"/>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ListParagraph"/>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left="0" w:firstLine="567"/>
        <w:rPr/>
      </w:pPr>
      <w:r>
        <w:rPr>
          <w:rFonts w:ascii="Times New Roman" w:hAnsi="Times New Roman"/>
          <w:sz w:val="28"/>
          <w:szCs w:val="28"/>
        </w:rPr>
        <w:t>СПО "Справки БК" размещено на официальном сайте Президента Российской Федерации (</w:t>
      </w:r>
      <w:hyperlink r:id="rId9">
        <w:r>
          <w:rPr>
            <w:rStyle w:val="Style23"/>
            <w:rFonts w:ascii="Times New Roman" w:hAnsi="Times New Roman"/>
            <w:sz w:val="28"/>
            <w:szCs w:val="28"/>
          </w:rPr>
          <w:t>http://www.kremlin.ru/structure/additional/12</w:t>
        </w:r>
      </w:hyperlink>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r>
          <w:rPr>
            <w:rStyle w:val="Style23"/>
            <w:rFonts w:ascii="Times New Roman" w:hAnsi="Times New Roman"/>
            <w:sz w:val="28"/>
            <w:szCs w:val="28"/>
          </w:rPr>
          <w:t>https://gossluzhba.gov.ru/anticorruption/spravki_bk</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pPr>
        <w:pStyle w:val="ListParagraph"/>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pPr>
        <w:pStyle w:val="ListParagraph"/>
        <w:ind w:left="0" w:firstLine="567"/>
        <w:rPr>
          <w:rFonts w:ascii="Times New Roman" w:hAnsi="Times New Roman"/>
          <w:sz w:val="28"/>
          <w:szCs w:val="28"/>
        </w:rPr>
      </w:pPr>
      <w:r>
        <w:rPr>
          <w:rFonts w:ascii="Times New Roman" w:hAnsi="Times New Roman"/>
          <w:sz w:val="28"/>
          <w:szCs w:val="28"/>
        </w:rPr>
        <w:t>Печатать справки рекомендуется только на одной стороне листа.</w:t>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Pr>
          <w:rFonts w:cs="Courier New" w:ascii="Times New Roman" w:hAnsi="Times New Roman"/>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cs="Courier New" w:ascii="Times New Roman" w:hAnsi="Times New Roman"/>
          <w:color w:val="1F497D"/>
          <w:sz w:val="28"/>
          <w:szCs w:val="28"/>
        </w:rPr>
        <w:t>е</w:t>
      </w:r>
      <w:r>
        <w:rPr>
          <w:rFonts w:ascii="Times New Roman" w:hAnsi="Times New Roman"/>
          <w:bCs/>
          <w:sz w:val="28"/>
          <w:szCs w:val="28"/>
        </w:rPr>
        <w:t xml:space="preserve">) </w:t>
      </w:r>
      <w:r>
        <w:rPr>
          <w:rStyle w:val="Style16"/>
          <w:rFonts w:cs="Times New Roman" w:ascii="Times New Roman" w:hAnsi="Times New Roman"/>
          <w:sz w:val="28"/>
          <w:szCs w:val="28"/>
        </w:rPr>
        <w:t>полностью, без</w:t>
      </w:r>
      <w:r>
        <w:rPr>
          <w:rStyle w:val="Style16"/>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cs="Courier New" w:ascii="Times New Roman" w:hAnsi="Times New Roman"/>
          <w:sz w:val="28"/>
          <w:szCs w:val="28"/>
        </w:rPr>
        <w:t>удостоверяющего личность документа указываются по состоянию на дату представления справки)</w:t>
      </w:r>
      <w:r>
        <w:rPr>
          <w:rStyle w:val="Style16"/>
          <w:rFonts w:cs="Times New Roman" w:ascii="Times New Roman" w:hAnsi="Times New Roman"/>
          <w:color w:val="000000"/>
          <w:sz w:val="28"/>
          <w:szCs w:val="28"/>
        </w:rPr>
        <w:t xml:space="preserve">. </w:t>
      </w:r>
      <w:r>
        <w:rPr>
          <w:rFonts w:cs="Courier New"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6"/>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clear" w:pos="709"/>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szCs w:val="28"/>
        </w:rPr>
        <w:t>(с 1 января по 1 (30) апреля года, следующего за отчетным)</w:t>
      </w:r>
      <w:r>
        <w:rPr>
          <w:rStyle w:val="Style16"/>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Style16"/>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Style w:val="Style16"/>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Pr>
          <w:rStyle w:val="Style16"/>
          <w:rFonts w:cs="Times New Roman" w:ascii="Times New Roman" w:hAnsi="Times New Roman"/>
          <w:sz w:val="28"/>
          <w:szCs w:val="28"/>
        </w:rPr>
        <w:t>осуществляющий уход за нетрудоспособным гражданином</w:t>
      </w:r>
      <w:r>
        <w:rPr>
          <w:rFonts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cs="Times New Roman" w:ascii="Times New Roman" w:hAnsi="Times New Roman"/>
          <w:sz w:val="28"/>
          <w:szCs w:val="28"/>
        </w:rPr>
        <w:t>"</w:t>
      </w:r>
      <w:r>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cs="Times New Roman" w:ascii="Times New Roman" w:hAnsi="Times New Roman"/>
          <w:sz w:val="28"/>
          <w:szCs w:val="28"/>
        </w:rPr>
        <w:t>"</w:t>
      </w:r>
      <w:r>
        <w:rPr>
          <w:rFonts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Style w:val="Style16"/>
          <w:rFonts w:ascii="Times New Roman" w:hAnsi="Times New Roman"/>
          <w:sz w:val="28"/>
          <w:szCs w:val="28"/>
        </w:rPr>
        <w:t>5)</w:t>
      </w:r>
      <w:r>
        <w:rPr>
          <w:rStyle w:val="Style16"/>
          <w:rFonts w:cs="Times New Roman" w:ascii="Times New Roman" w:hAnsi="Times New Roman"/>
          <w:sz w:val="28"/>
          <w:szCs w:val="28"/>
        </w:rPr>
        <w:t xml:space="preserve"> при наличии на отчетную дату нескольких мест работы на титульном листе справки </w:t>
      </w:r>
      <w:r>
        <w:rPr>
          <w:rFonts w:ascii="Times New Roman" w:hAnsi="Times New Roman"/>
          <w:sz w:val="28"/>
          <w:szCs w:val="28"/>
        </w:rPr>
        <w:t>обязательно</w:t>
      </w:r>
      <w:r>
        <w:rPr>
          <w:rStyle w:val="Style16"/>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clear" w:pos="709"/>
          <w:tab w:val="left" w:pos="567"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6"/>
          <w:rFonts w:cs="Times New Roman" w:ascii="Times New Roman" w:hAnsi="Times New Roman"/>
          <w:sz w:val="28"/>
          <w:szCs w:val="28"/>
        </w:rPr>
        <w:t>по состоянию на дату представления справки</w:t>
      </w:r>
      <w:r>
        <w:rPr>
          <w:rStyle w:val="Style16"/>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6"/>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tabs>
          <w:tab w:val="clear" w:pos="709"/>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"Общая сумма дохода"). Если по основному месту работы получен доход, который не включен в справку по форме 2-НДФЛ,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Normal"/>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36"/>
          <w:szCs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ind w:left="0" w:firstLine="567"/>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1">
        <w:r>
          <w:rPr>
            <w:rStyle w:val="Style23"/>
            <w:rFonts w:ascii="Times New Roman" w:hAnsi="Times New Roman"/>
            <w:sz w:val="28"/>
            <w:szCs w:val="28"/>
          </w:rPr>
          <w:t>https://www.cbr.ru/currency_base/daily/</w:t>
        </w:r>
      </w:hyperlink>
      <w:r>
        <w:rPr>
          <w:rFonts w:ascii="Times New Roman" w:hAnsi="Times New Roman"/>
          <w:sz w:val="28"/>
          <w:szCs w:val="28"/>
        </w:rPr>
        <w:t xml:space="preserve">. </w:t>
      </w:r>
    </w:p>
    <w:p>
      <w:pPr>
        <w:pStyle w:val="Normal"/>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5"/>
        <w:numPr>
          <w:ilvl w:val="0"/>
          <w:numId w:val="1"/>
        </w:numPr>
        <w:shd w:val="clear" w:color="auto" w:fill="auto"/>
        <w:tabs>
          <w:tab w:val="clear" w:pos="709"/>
          <w:tab w:val="left" w:pos="142"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5"/>
        <w:shd w:val="clear" w:color="auto" w:fill="auto"/>
        <w:tabs>
          <w:tab w:val="clear" w:pos="709"/>
          <w:tab w:val="left" w:pos="142"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Так, например, в строке иные доходы могут быть указаны: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государственная и негосударственная пенсии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Style16"/>
          <w:rFonts w:cs="Times New Roman" w:ascii="Times New Roman" w:hAnsi="Times New Roman"/>
          <w:sz w:val="28"/>
          <w:szCs w:val="28"/>
        </w:rPr>
        <w:t>;</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2"/>
        </w:numPr>
        <w:tabs>
          <w:tab w:val="clear" w:pos="709"/>
          <w:tab w:val="left" w:pos="142" w:leader="none"/>
          <w:tab w:val="left" w:pos="1134" w:leader="none"/>
        </w:tabs>
        <w:ind w:left="0" w:firstLine="567"/>
        <w:rPr>
          <w:color w:val="auto"/>
          <w:sz w:val="28"/>
          <w:szCs w:val="28"/>
        </w:rPr>
      </w:pPr>
      <w:r>
        <w:rPr>
          <w:rStyle w:val="Style16"/>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Style16"/>
          <w:rFonts w:cs="Times New Roman"/>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pPr>
        <w:pStyle w:val="Default"/>
        <w:tabs>
          <w:tab w:val="clear" w:pos="709"/>
          <w:tab w:val="left" w:pos="142" w:leader="none"/>
          <w:tab w:val="left" w:pos="1134" w:leader="none"/>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5"/>
        <w:numPr>
          <w:ilvl w:val="0"/>
          <w:numId w:val="2"/>
        </w:numPr>
        <w:shd w:val="clear" w:color="auto" w:fill="auto"/>
        <w:tabs>
          <w:tab w:val="clear" w:pos="709"/>
          <w:tab w:val="left" w:pos="142" w:leader="none"/>
        </w:tabs>
        <w:spacing w:lineRule="auto" w:line="240" w:before="0" w:after="0"/>
        <w:ind w:left="142" w:firstLine="425"/>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стипендия;</w:t>
      </w:r>
    </w:p>
    <w:p>
      <w:pPr>
        <w:pStyle w:val="ListParagraph"/>
        <w:numPr>
          <w:ilvl w:val="0"/>
          <w:numId w:val="2"/>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Style16"/>
          <w:rFonts w:cs="Times New Roman" w:ascii="Times New Roman" w:hAnsi="Times New Roman"/>
          <w:b/>
          <w:color w:val="000000"/>
          <w:sz w:val="28"/>
          <w:szCs w:val="28"/>
        </w:rPr>
        <w:t xml:space="preserve"> </w:t>
      </w:r>
      <w:r>
        <w:rPr>
          <w:rStyle w:val="Style16"/>
          <w:rFonts w:cs="Times New Roman" w:ascii="Times New Roman" w:hAnsi="Times New Roman"/>
          <w:color w:val="000000"/>
          <w:sz w:val="28"/>
          <w:szCs w:val="28"/>
        </w:rPr>
        <w:t xml:space="preserve">или иным родственникам. </w:t>
      </w:r>
    </w:p>
    <w:p>
      <w:pPr>
        <w:pStyle w:val="Style25"/>
        <w:shd w:val="clear" w:color="auto" w:fill="auto"/>
        <w:tabs>
          <w:tab w:val="clear" w:pos="709"/>
          <w:tab w:val="left" w:pos="142" w:leader="none"/>
          <w:tab w:val="left" w:pos="1134"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16"/>
          <w:rFonts w:cs="Times New Roman" w:ascii="Times New Roman" w:hAnsi="Times New Roman"/>
          <w:color w:val="000000"/>
          <w:sz w:val="28"/>
          <w:szCs w:val="28"/>
        </w:rPr>
        <w:t>Доход от реализации имущества указывается в полном объеме без вычета "комиссионных" и иных подобных выплат.</w:t>
      </w:r>
    </w:p>
    <w:p>
      <w:pPr>
        <w:pStyle w:val="Style25"/>
        <w:shd w:val="clear" w:color="auto" w:fill="auto"/>
        <w:tabs>
          <w:tab w:val="clear" w:pos="709"/>
          <w:tab w:val="left" w:pos="142" w:leader="none"/>
          <w:tab w:val="left" w:pos="1134"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6"/>
          <w:rFonts w:cs="Times New Roman" w:ascii="Times New Roman" w:hAnsi="Times New Roman"/>
          <w:color w:val="000000"/>
          <w:sz w:val="28"/>
          <w:szCs w:val="28"/>
        </w:rPr>
        <w:t xml:space="preserve">При этом </w:t>
      </w:r>
      <w:r>
        <w:rPr>
          <w:rStyle w:val="Style16"/>
          <w:rFonts w:cs="Times New Roman" w:ascii="Times New Roman" w:hAnsi="Times New Roman"/>
          <w:sz w:val="28"/>
          <w:szCs w:val="28"/>
        </w:rPr>
        <w:t xml:space="preserve">рекомендуется </w:t>
      </w:r>
      <w:r>
        <w:rPr>
          <w:rStyle w:val="Style16"/>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Style25"/>
        <w:numPr>
          <w:ilvl w:val="0"/>
          <w:numId w:val="2"/>
        </w:numPr>
        <w:shd w:val="clear" w:color="auto" w:fill="auto"/>
        <w:tabs>
          <w:tab w:val="clear" w:pos="709"/>
          <w:tab w:val="left" w:pos="142" w:leader="none"/>
          <w:tab w:val="left" w:pos="710"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color w:val="000000"/>
          <w:sz w:val="28"/>
          <w:szCs w:val="28"/>
        </w:rPr>
      </w:pPr>
      <w:r>
        <w:rPr>
          <w:rStyle w:val="Style16"/>
          <w:rFonts w:cs="Times New Roman" w:ascii="Times New Roman" w:hAnsi="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2"/>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182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Default"/>
        <w:numPr>
          <w:ilvl w:val="0"/>
          <w:numId w:val="2"/>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pPr>
        <w:pStyle w:val="ListParagraph"/>
        <w:numPr>
          <w:ilvl w:val="0"/>
          <w:numId w:val="2"/>
        </w:numPr>
        <w:tabs>
          <w:tab w:val="clear" w:pos="709"/>
          <w:tab w:val="left" w:pos="142" w:leader="none"/>
          <w:tab w:val="left" w:pos="1134" w:leader="none"/>
        </w:tabs>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2"/>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pPr>
        <w:pStyle w:val="Default"/>
        <w:numPr>
          <w:ilvl w:val="0"/>
          <w:numId w:val="2"/>
        </w:numPr>
        <w:tabs>
          <w:tab w:val="clear" w:pos="709"/>
          <w:tab w:val="left" w:pos="142" w:leader="none"/>
          <w:tab w:val="left" w:pos="1134" w:leader="none"/>
        </w:tabs>
        <w:ind w:left="0" w:firstLine="567"/>
        <w:rPr>
          <w:sz w:val="28"/>
          <w:szCs w:val="28"/>
        </w:rPr>
      </w:pPr>
      <w:r>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ListParagraph"/>
        <w:numPr>
          <w:ilvl w:val="0"/>
          <w:numId w:val="2"/>
        </w:numPr>
        <w:ind w:left="0" w:firstLine="567"/>
        <w:rPr>
          <w:rFonts w:ascii="Times New Roman" w:hAnsi="Times New Roman"/>
          <w:sz w:val="28"/>
          <w:szCs w:val="28"/>
          <w:lang w:eastAsia="ru-RU"/>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pPr>
        <w:pStyle w:val="ListParagraph"/>
        <w:numPr>
          <w:ilvl w:val="0"/>
          <w:numId w:val="2"/>
        </w:numPr>
        <w:tabs>
          <w:tab w:val="clear" w:pos="709"/>
          <w:tab w:val="left" w:pos="1276" w:leader="none"/>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5"/>
        <w:numPr>
          <w:ilvl w:val="0"/>
          <w:numId w:val="2"/>
        </w:numPr>
        <w:shd w:val="clear" w:color="auto" w:fill="auto"/>
        <w:tabs>
          <w:tab w:val="clear" w:pos="709"/>
          <w:tab w:val="left" w:pos="142" w:leader="none"/>
          <w:tab w:val="left" w:pos="1276"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Style25"/>
        <w:numPr>
          <w:ilvl w:val="0"/>
          <w:numId w:val="2"/>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eastAsia="Times New Roman" w:ascii="Times New Roman" w:hAnsi="Times New Roman"/>
          <w:sz w:val="28"/>
          <w:szCs w:val="28"/>
          <w:lang w:eastAsia="ru-RU"/>
        </w:rPr>
        <w:t>"</w:t>
      </w:r>
      <w:r>
        <w:rPr>
          <w:rFonts w:ascii="Times New Roman" w:hAnsi="Times New Roman"/>
          <w:sz w:val="28"/>
          <w:szCs w:val="28"/>
        </w:rPr>
        <w:t>Доход от педагогической и научной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раздела 1 справки, результаты иной творческой деятельности – в строке </w:t>
      </w:r>
      <w:r>
        <w:rPr>
          <w:rFonts w:eastAsia="Times New Roman" w:ascii="Times New Roman" w:hAnsi="Times New Roman"/>
          <w:sz w:val="28"/>
          <w:szCs w:val="28"/>
          <w:lang w:eastAsia="ru-RU"/>
        </w:rPr>
        <w:t>"</w:t>
      </w:r>
      <w:r>
        <w:rPr>
          <w:rFonts w:ascii="Times New Roman" w:hAnsi="Times New Roman"/>
          <w:sz w:val="28"/>
          <w:szCs w:val="28"/>
        </w:rPr>
        <w:t>Доход от иной творческой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указанного раздела справки;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6"/>
          <w:rFonts w:cs="Times New Roman" w:ascii="Times New Roman" w:hAnsi="Times New Roman"/>
          <w:color w:val="000000"/>
          <w:sz w:val="28"/>
          <w:szCs w:val="28"/>
        </w:rPr>
        <w:t xml:space="preserve">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выплата семьям, имеющим детей, в соответствии с Указом Президента Российской Федерации от 2 июля 2021 г. № 396;</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 486;</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p>
    <w:p>
      <w:pPr>
        <w:pStyle w:val="ListParagraph"/>
        <w:numPr>
          <w:ilvl w:val="1"/>
          <w:numId w:val="1"/>
        </w:numPr>
        <w:ind w:left="0" w:firstLine="709"/>
        <w:rPr>
          <w:rFonts w:ascii="Times New Roman" w:hAnsi="Times New Roman" w:eastAsia="Times New Roman"/>
          <w:sz w:val="28"/>
          <w:szCs w:val="28"/>
          <w:lang w:eastAsia="ru-RU"/>
        </w:rPr>
      </w:pPr>
      <w:r>
        <w:rPr>
          <w:rFonts w:eastAsia="Times New Roman" w:ascii="Times New Roman" w:hAnsi="Times New Roman"/>
          <w:sz w:val="28"/>
          <w:szCs w:val="28"/>
          <w:lang w:eastAsia="ru-RU"/>
        </w:rPr>
        <w:t>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 1037.</w:t>
      </w:r>
    </w:p>
    <w:p>
      <w:pPr>
        <w:pStyle w:val="Normal"/>
        <w:rPr>
          <w:rFonts w:ascii="Times New Roman" w:hAnsi="Times New Roman" w:eastAsia="Times New Roman"/>
          <w:sz w:val="28"/>
          <w:szCs w:val="28"/>
          <w:lang w:eastAsia="ru-RU"/>
        </w:rPr>
      </w:pPr>
      <w:r>
        <w:rPr>
          <w:rFonts w:eastAsia="Times New Roman" w:ascii="Times New Roman" w:hAnsi="Times New Roman"/>
          <w:sz w:val="28"/>
          <w:szCs w:val="28"/>
          <w:lang w:eastAsia="ru-RU"/>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включая т.н. "туристический кешбэк", "детский кешбэк" и др.;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6"/>
          <w:rFonts w:cs="Times New Roman" w:ascii="Times New Roman" w:hAnsi="Times New Roman"/>
          <w:color w:val="000000"/>
          <w:sz w:val="28"/>
          <w:szCs w:val="28"/>
        </w:rPr>
        <w:t>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6"/>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6"/>
          <w:rFonts w:cs="Times New Roman" w:ascii="Times New Roman" w:hAnsi="Times New Roman"/>
          <w:color w:val="000000"/>
          <w:sz w:val="28"/>
          <w:szCs w:val="28"/>
        </w:rPr>
        <w:t xml:space="preserve"> Федеральным законом</w:t>
      </w:r>
      <w:r>
        <w:rPr/>
        <w:t xml:space="preserve"> </w:t>
      </w:r>
      <w:r>
        <w:rPr>
          <w:rStyle w:val="Style16"/>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eastAsia="Times New Roman" w:ascii="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p>
    <w:p>
      <w:pPr>
        <w:pStyle w:val="ListParagraph"/>
        <w:ind w:left="0" w:firstLine="709"/>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left="567" w:hanging="0"/>
        <w:rPr>
          <w:rFonts w:ascii="Times New Roman" w:hAnsi="Times New Roman"/>
          <w:sz w:val="28"/>
          <w:szCs w:val="28"/>
        </w:rPr>
      </w:pPr>
      <w:r>
        <w:rPr>
          <w:rFonts w:ascii="Times New Roman" w:hAnsi="Times New Roman"/>
          <w:sz w:val="28"/>
          <w:szCs w:val="28"/>
        </w:rPr>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68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2справки не заполняют.</w:t>
      </w:r>
    </w:p>
    <w:p>
      <w:pPr>
        <w:pStyle w:val="ListParagraph"/>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68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68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 (аналогично в отношении супруги (супруга).</w:t>
      </w:r>
    </w:p>
    <w:p>
      <w:pPr>
        <w:pStyle w:val="ListParagraph"/>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pPr>
        <w:pStyle w:val="ListParagraph"/>
        <w:numPr>
          <w:ilvl w:val="0"/>
          <w:numId w:val="1"/>
        </w:numPr>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ind w:firstLine="567"/>
        <w:jc w:val="both"/>
        <w:rPr/>
      </w:pPr>
      <w:r>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pPr>
        <w:pStyle w:val="ConsPlusNormal"/>
        <w:ind w:firstLine="567"/>
        <w:jc w:val="both"/>
        <w:rPr/>
      </w:pPr>
      <w:r>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pPr>
        <w:pStyle w:val="ConsPlusNormal"/>
        <w:ind w:firstLine="567"/>
        <w:jc w:val="both"/>
        <w:rPr/>
      </w:pPr>
      <w:r>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567"/>
        <w:rPr>
          <w:rFonts w:ascii="Times New Roman" w:hAnsi="Times New Roman"/>
          <w:sz w:val="28"/>
          <w:szCs w:val="28"/>
        </w:rPr>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Normal"/>
        <w:ind w:firstLine="851"/>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Подраздел 3.1 Недвижимое имущество</w:t>
      </w:r>
    </w:p>
    <w:p>
      <w:pPr>
        <w:pStyle w:val="ListParagraph"/>
        <w:ind w:left="567" w:hanging="0"/>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pPr>
        <w:pStyle w:val="ListParagraph"/>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6"/>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color w:val="000000"/>
          <w:sz w:val="28"/>
          <w:szCs w:val="28"/>
        </w:rPr>
        <w:t xml:space="preserve">При наличии в собственности </w:t>
      </w:r>
      <w:r>
        <w:rPr>
          <w:rStyle w:val="Style16"/>
          <w:rFonts w:cs="Times New Roman" w:ascii="Times New Roman" w:hAnsi="Times New Roman"/>
          <w:b/>
          <w:color w:val="000000"/>
          <w:sz w:val="28"/>
          <w:szCs w:val="28"/>
        </w:rPr>
        <w:t>жилого или садового дома,</w:t>
      </w:r>
      <w:r>
        <w:rPr>
          <w:rStyle w:val="Style16"/>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Style w:val="Style16"/>
          <w:rFonts w:cs="Times New Roman" w:ascii="Times New Roman" w:hAnsi="Times New Roman"/>
          <w:color w:val="000000"/>
          <w:sz w:val="28"/>
          <w:szCs w:val="28"/>
        </w:rPr>
        <w:t>В строке 4 "</w:t>
      </w:r>
      <w:r>
        <w:rPr>
          <w:rStyle w:val="Style16"/>
          <w:rFonts w:cs="Times New Roman" w:ascii="Times New Roman" w:hAnsi="Times New Roman"/>
          <w:b/>
          <w:color w:val="000000"/>
          <w:sz w:val="28"/>
          <w:szCs w:val="28"/>
        </w:rPr>
        <w:t>Гаражи</w:t>
      </w:r>
      <w:r>
        <w:rPr>
          <w:rStyle w:val="Style16"/>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6"/>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6"/>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6"/>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77:02:0014017:1994-72/004/2021-2 от 27 марта 2021 г.; договор купли-продажи от 19 февраля 2021 г. или иное.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1" w:name="Par8"/>
      <w:bookmarkEnd w:id="1"/>
      <w:r>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2">
        <w:r>
          <w:rPr>
            <w:rStyle w:val="ListLabel9"/>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3">
        <w:r>
          <w:rPr>
            <w:rStyle w:val="ListLabel9"/>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4">
        <w:r>
          <w:rPr>
            <w:rStyle w:val="ListLabel9"/>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 xml:space="preserve">В случае отсутствия регистрации допускается указать "Отсутствует".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567"/>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Normal"/>
        <w:ind w:firstLine="567"/>
        <w:rPr>
          <w:rFonts w:ascii="Times New Roman" w:hAnsi="Times New Roman"/>
          <w:b/>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pPr>
        <w:pStyle w:val="Normal"/>
        <w:widowControl w:val="false"/>
        <w:ind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Normal"/>
        <w:widowControl w:val="false"/>
        <w:ind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К иным цифровым правам могут быть отнесены утилитарные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Наименование цифрового финансового актива или цифрового права</w:t>
      </w:r>
      <w:r>
        <w:rPr>
          <w:rStyle w:val="Style16"/>
          <w:rFonts w:cs="Times New Roman" w:ascii="Times New Roman" w:hAnsi="Times New Roman"/>
          <w:sz w:val="28"/>
          <w:szCs w:val="28"/>
          <w:shd w:fill="auto" w:val="clear"/>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709"/>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Дата приобретения</w:t>
      </w:r>
      <w:r>
        <w:rPr>
          <w:rStyle w:val="Style16"/>
          <w:rFonts w:cs="Times New Roman" w:ascii="Times New Roman" w:hAnsi="Times New Roman"/>
          <w:sz w:val="28"/>
          <w:szCs w:val="28"/>
          <w:shd w:fill="auto" w:val="clear"/>
        </w:rPr>
        <w:t>" указывается дата приобретения цифрового финансового актива или цифрового права.</w:t>
      </w:r>
    </w:p>
    <w:p>
      <w:pPr>
        <w:pStyle w:val="ListParagraph"/>
        <w:widowControl w:val="false"/>
        <w:numPr>
          <w:ilvl w:val="0"/>
          <w:numId w:val="1"/>
        </w:numPr>
        <w:ind w:left="0" w:firstLine="709"/>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Общее количество</w:t>
      </w:r>
      <w:r>
        <w:rPr>
          <w:rStyle w:val="Style16"/>
          <w:rFonts w:cs="Times New Roman" w:ascii="Times New Roman" w:hAnsi="Times New Roman"/>
          <w:sz w:val="28"/>
          <w:szCs w:val="28"/>
          <w:shd w:fill="auto" w:val="clear"/>
        </w:rPr>
        <w:t>" указывается общее количество приобретенных цифровых финансовых активов или цифровых прав.</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Сведения об операторе информационной системы, в которой осуществляется выпуск цифровых финансовых активов</w:t>
      </w:r>
      <w:r>
        <w:rPr>
          <w:rStyle w:val="Style16"/>
          <w:rFonts w:cs="Times New Roman" w:ascii="Times New Roman" w:hAnsi="Times New Roman"/>
          <w:sz w:val="28"/>
          <w:szCs w:val="28"/>
          <w:shd w:fill="auto" w:val="clear"/>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Normal"/>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 </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 xml:space="preserve">1) право требовать передачи вещи (вещей); </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3) право требовать выполнения работ и (или) оказания услуг.</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Уникальное условное обозначение</w:t>
      </w:r>
      <w:r>
        <w:rPr>
          <w:rStyle w:val="Style16"/>
          <w:rFonts w:cs="Times New Roman" w:ascii="Times New Roman" w:hAnsi="Times New Roman"/>
          <w:sz w:val="28"/>
          <w:szCs w:val="28"/>
          <w:shd w:fill="auto" w:val="clear"/>
        </w:rPr>
        <w:t>" указывается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Дата приобретения</w:t>
      </w:r>
      <w:r>
        <w:rPr>
          <w:rStyle w:val="Style16"/>
          <w:rFonts w:cs="Times New Roman" w:ascii="Times New Roman" w:hAnsi="Times New Roman"/>
          <w:sz w:val="28"/>
          <w:szCs w:val="28"/>
          <w:shd w:fill="auto" w:val="clear"/>
        </w:rPr>
        <w:t>" указывается дата приобретения утилитарного цифрового права.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Объем инвестиций (руб.)</w:t>
      </w:r>
      <w:r>
        <w:rPr>
          <w:rStyle w:val="Style16"/>
          <w:rFonts w:cs="Times New Roman" w:ascii="Times New Roman" w:hAnsi="Times New Roman"/>
          <w:sz w:val="28"/>
          <w:szCs w:val="28"/>
          <w:shd w:fill="auto" w:val="clear"/>
        </w:rPr>
        <w:t>" указывается объем инвестиций в рублях в соответствии с договором инвестирования.</w:t>
      </w:r>
      <w:r>
        <w:rPr/>
        <w:t xml:space="preserve"> </w:t>
      </w:r>
      <w:r>
        <w:rPr>
          <w:rStyle w:val="Style16"/>
          <w:rFonts w:cs="Times New Roman" w:ascii="Times New Roman" w:hAnsi="Times New Roman"/>
          <w:sz w:val="28"/>
          <w:szCs w:val="28"/>
          <w:shd w:fill="auto" w:val="clear"/>
        </w:rPr>
        <w:t>Инвестиции, выраженные в иностранной валюте, указываются в рублях по курсу Банка России на дату их осуществления.</w:t>
      </w:r>
    </w:p>
    <w:p>
      <w:pPr>
        <w:pStyle w:val="Normal"/>
        <w:widowControl w:val="false"/>
        <w:ind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Сведения об операторе инвестиционной платформы</w:t>
      </w:r>
      <w:r>
        <w:rPr>
          <w:rStyle w:val="Style16"/>
          <w:rFonts w:cs="Times New Roman" w:ascii="Times New Roman" w:hAnsi="Times New Roman"/>
          <w:sz w:val="28"/>
          <w:szCs w:val="28"/>
          <w:shd w:fill="auto" w:val="clear"/>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left="0" w:firstLine="567"/>
        <w:rPr/>
      </w:pPr>
      <w:r>
        <w:rPr>
          <w:rStyle w:val="Style16"/>
          <w:rFonts w:cs="Times New Roman" w:ascii="Times New Roman" w:hAnsi="Times New Roman"/>
          <w:sz w:val="28"/>
          <w:szCs w:val="28"/>
          <w:shd w:fill="auto" w:val="clear"/>
        </w:rPr>
        <w:t xml:space="preserve">Реестр операторов инвестиционных платформ размещен на официальном сайте Банка России по ссылке: </w:t>
      </w:r>
      <w:hyperlink r:id="rId15">
        <w:r>
          <w:rPr>
            <w:rStyle w:val="Style23"/>
            <w:rFonts w:ascii="Times New Roman" w:hAnsi="Times New Roman"/>
            <w:sz w:val="28"/>
            <w:szCs w:val="28"/>
          </w:rPr>
          <w:t>http://www.cbr.ru/finm_infrastructure/oper/</w:t>
        </w:r>
      </w:hyperlink>
      <w:r>
        <w:rPr>
          <w:rStyle w:val="Style16"/>
          <w:rFonts w:cs="Times New Roman" w:ascii="Times New Roman" w:hAnsi="Times New Roman"/>
          <w:sz w:val="28"/>
          <w:szCs w:val="28"/>
          <w:shd w:fill="auto" w:val="clear"/>
        </w:rPr>
        <w:t>.</w:t>
      </w:r>
    </w:p>
    <w:p>
      <w:pPr>
        <w:pStyle w:val="ListParagraph"/>
        <w:widowControl w:val="false"/>
        <w:ind w:left="0" w:firstLine="567"/>
        <w:rPr>
          <w:rStyle w:val="Style16"/>
          <w:rFonts w:ascii="Times New Roman" w:hAnsi="Times New Roman" w:cs="Times New Roman"/>
          <w:sz w:val="28"/>
          <w:szCs w:val="28"/>
        </w:rPr>
      </w:pPr>
      <w:r>
        <w:rPr>
          <w:rFonts w:ascii="Times New Roman" w:hAnsi="Times New Roman"/>
          <w:b/>
          <w:sz w:val="28"/>
          <w:szCs w:val="28"/>
        </w:rPr>
        <w:t>Подраздел 3.5. Цифровая валюта</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Наименование цифровой валюты</w:t>
      </w:r>
      <w:r>
        <w:rPr>
          <w:rStyle w:val="Style16"/>
          <w:rFonts w:cs="Times New Roman" w:ascii="Times New Roman" w:hAnsi="Times New Roman"/>
          <w:sz w:val="28"/>
          <w:szCs w:val="28"/>
          <w:shd w:fill="auto" w:val="clear"/>
        </w:rPr>
        <w:t>"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Дата приобретения</w:t>
      </w:r>
      <w:r>
        <w:rPr>
          <w:rStyle w:val="Style16"/>
          <w:rFonts w:cs="Times New Roman" w:ascii="Times New Roman" w:hAnsi="Times New Roman"/>
          <w:sz w:val="28"/>
          <w:szCs w:val="28"/>
          <w:shd w:fill="auto" w:val="clear"/>
        </w:rPr>
        <w:t>" указывается дата приобретения цифровой валюты.</w:t>
      </w:r>
    </w:p>
    <w:p>
      <w:pPr>
        <w:pStyle w:val="ListParagraph"/>
        <w:widowControl w:val="false"/>
        <w:numPr>
          <w:ilvl w:val="0"/>
          <w:numId w:val="1"/>
        </w:numPr>
        <w:ind w:left="0" w:firstLine="567"/>
        <w:rPr>
          <w:rFonts w:ascii="Times New Roman" w:hAnsi="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Общее количество</w:t>
      </w:r>
      <w:r>
        <w:rPr>
          <w:rStyle w:val="Style16"/>
          <w:rFonts w:cs="Times New Roman" w:ascii="Times New Roman" w:hAnsi="Times New Roman"/>
          <w:sz w:val="28"/>
          <w:szCs w:val="28"/>
          <w:shd w:fill="auto" w:val="clear"/>
        </w:rPr>
        <w:t xml:space="preserve">" указывается точное количество цифровой валюты, находящейся в собственности (без округления). </w:t>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pStyle w:val="ListParagraph"/>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7)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9)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pStyle w:val="ListParagraph"/>
        <w:ind w:left="0" w:firstLine="567"/>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6">
        <w:r>
          <w:rPr>
            <w:rStyle w:val="Style23"/>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182 настоящих Методических рекомендаций.</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highlight w:val="white"/>
        </w:rPr>
      </w:pPr>
      <w:r>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ListParagraph"/>
        <w:ind w:left="0" w:firstLine="567"/>
        <w:rPr>
          <w:rFonts w:ascii="Times New Roman" w:hAnsi="Times New Roman"/>
          <w:sz w:val="28"/>
          <w:szCs w:val="28"/>
        </w:rPr>
      </w:pPr>
      <w:r>
        <w:rPr>
          <w:rStyle w:val="Style16"/>
          <w:rFonts w:cs="Times New Roman" w:ascii="Times New Roman" w:hAnsi="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6"/>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pPr>
        <w:pStyle w:val="ListParagraph"/>
        <w:ind w:left="0" w:firstLine="567"/>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7">
        <w:r>
          <w:rPr>
            <w:rStyle w:val="Style23"/>
            <w:rFonts w:ascii="Times New Roman" w:hAnsi="Times New Roman"/>
            <w:sz w:val="28"/>
            <w:szCs w:val="28"/>
          </w:rPr>
          <w:t>https://www.cbr.ru/currency_base/</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По счету в драгоценных металлах данная графа не заполняется.</w:t>
      </w:r>
    </w:p>
    <w:p>
      <w:pPr>
        <w:pStyle w:val="Normal"/>
        <w:ind w:firstLine="567"/>
        <w:rPr>
          <w:rFonts w:ascii="Times New Roman" w:hAnsi="Times New Roman"/>
          <w:sz w:val="28"/>
          <w:szCs w:val="28"/>
        </w:rPr>
      </w:pPr>
      <w:r>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eastAsia="MS Mincho" w:cs="MS Mincho" w:ascii="MS Mincho" w:hAnsi="MS Mincho"/>
          <w:sz w:val="28"/>
          <w:szCs w:val="28"/>
        </w:rPr>
        <w:t>✓</w:t>
      </w:r>
      <w:r>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Normal"/>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10348" w:type="dxa"/>
        <w:jc w:val="left"/>
        <w:tblInd w:w="109" w:type="dxa"/>
        <w:tblCellMar>
          <w:top w:w="0" w:type="dxa"/>
          <w:left w:w="108" w:type="dxa"/>
          <w:bottom w:w="0" w:type="dxa"/>
          <w:right w:w="108" w:type="dxa"/>
        </w:tblCellMar>
        <w:tblLook w:val="04a0" w:noVBand="1" w:noHBand="0" w:lastColumn="0" w:firstColumn="1" w:lastRow="0" w:firstRow="1"/>
      </w:tblPr>
      <w:tblGrid>
        <w:gridCol w:w="2126"/>
        <w:gridCol w:w="8221"/>
      </w:tblGrid>
      <w:tr>
        <w:trPr/>
        <w:tc>
          <w:tcPr>
            <w:tcW w:w="2126" w:type="dxa"/>
            <w:tcBorders/>
            <w:shd w:fill="auto" w:val="clear"/>
          </w:tcPr>
          <w:p>
            <w:pPr>
              <w:pStyle w:val="ListParagraph"/>
              <w:ind w:left="0" w:hanging="0"/>
              <w:rPr>
                <w:rFonts w:ascii="Times New Roman" w:hAnsi="Times New Roman"/>
                <w:sz w:val="28"/>
              </w:rPr>
            </w:pPr>
            <w:r>
              <w:rPr>
                <w:rFonts w:ascii="Times New Roman" w:hAnsi="Times New Roman"/>
                <w:sz w:val="28"/>
              </w:rPr>
              <w:t>Расчетная (дебетовая)</w:t>
            </w:r>
          </w:p>
        </w:tc>
        <w:tc>
          <w:tcPr>
            <w:tcW w:w="8221" w:type="dxa"/>
            <w:tcBorders/>
            <w:shd w:fill="auto" w:val="clear"/>
          </w:tcPr>
          <w:p>
            <w:pPr>
              <w:pStyle w:val="ListParagraph"/>
              <w:ind w:left="0" w:hanging="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6" w:type="dxa"/>
            <w:tcBorders/>
            <w:shd w:fill="auto" w:val="clear"/>
          </w:tcPr>
          <w:p>
            <w:pPr>
              <w:pStyle w:val="ListParagraph"/>
              <w:ind w:left="0" w:hanging="0"/>
              <w:rPr>
                <w:rFonts w:ascii="Times New Roman" w:hAnsi="Times New Roman"/>
                <w:sz w:val="28"/>
              </w:rPr>
            </w:pPr>
            <w:r>
              <w:rPr>
                <w:rFonts w:ascii="Times New Roman" w:hAnsi="Times New Roman"/>
                <w:sz w:val="28"/>
              </w:rPr>
              <w:t>Кредитная</w:t>
            </w:r>
          </w:p>
        </w:tc>
        <w:tc>
          <w:tcPr>
            <w:tcW w:w="8221" w:type="dxa"/>
            <w:tcBorders/>
            <w:shd w:fill="auto" w:val="clear"/>
          </w:tcPr>
          <w:p>
            <w:pPr>
              <w:pStyle w:val="ListParagraph"/>
              <w:ind w:left="0" w:hanging="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br/>
              <w:t xml:space="preserve">денежных средств, предоставленных кредитной </w:t>
              <w:br/>
              <w:t>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pPr>
      <w:r>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18">
        <w:r>
          <w:rPr>
            <w:rStyle w:val="Style23"/>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9">
        <w:r>
          <w:rPr>
            <w:rStyle w:val="Style23"/>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pPr>
        <w:pStyle w:val="ListParagraph"/>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ListParagraph"/>
        <w:ind w:left="0" w:firstLine="567"/>
        <w:rPr>
          <w:rFonts w:ascii="Times New Roman" w:hAnsi="Times New Roman"/>
          <w:sz w:val="28"/>
          <w:szCs w:val="28"/>
        </w:rPr>
      </w:pPr>
      <w:r>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Место нахождения</w:t>
      </w:r>
      <w:r>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pPr>
        <w:pStyle w:val="ListParagraph"/>
        <w:numPr>
          <w:ilvl w:val="0"/>
          <w:numId w:val="1"/>
        </w:numPr>
        <w:ind w:left="0" w:firstLine="567"/>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0">
        <w:r>
          <w:rPr>
            <w:rStyle w:val="Style23"/>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ind w:left="0" w:firstLine="567"/>
        <w:rPr>
          <w:rFonts w:ascii="Times New Roman" w:hAnsi="Times New Roman"/>
          <w:sz w:val="28"/>
          <w:szCs w:val="28"/>
        </w:rPr>
      </w:pPr>
      <w:r>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pPr>
        <w:pStyle w:val="ListParagraph"/>
        <w:numPr>
          <w:ilvl w:val="0"/>
          <w:numId w:val="1"/>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0" w:firstLine="567"/>
        <w:rPr>
          <w:rFonts w:ascii="Times New Roman" w:hAnsi="Times New Roman"/>
          <w:sz w:val="28"/>
          <w:szCs w:val="28"/>
        </w:rPr>
      </w:pPr>
      <w:r>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дата приобретения.</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left="0" w:firstLine="567"/>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r>
          <w:rPr>
            <w:rStyle w:val="Style23"/>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709"/>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4"/>
          <w:szCs w:val="28"/>
        </w:rPr>
      </w:pPr>
      <w:r>
        <w:rPr>
          <w:rFonts w:ascii="Times New Roman" w:hAnsi="Times New Roman"/>
          <w:sz w:val="24"/>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справки соответствующей справки </w:t>
      </w:r>
    </w:p>
    <w:p>
      <w:pPr>
        <w:pStyle w:val="ListParagraph"/>
        <w:ind w:left="567" w:hanging="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3.1раздела 3 справки. </w:t>
      </w:r>
    </w:p>
    <w:p>
      <w:pPr>
        <w:pStyle w:val="ListParagraph"/>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2"/>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709"/>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ListParagraph"/>
        <w:widowControl w:val="false"/>
        <w:numPr>
          <w:ilvl w:val="0"/>
          <w:numId w:val="1"/>
        </w:numPr>
        <w:ind w:left="0" w:firstLine="567"/>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pPr>
        <w:pStyle w:val="Normal"/>
        <w:widowControl w:val="false"/>
        <w:ind w:firstLine="567"/>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r>
          <w:rPr>
            <w:rStyle w:val="Style23"/>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w:t>
      </w:r>
      <w:r>
        <w:rPr/>
        <w:t xml:space="preserve"> </w:t>
      </w:r>
      <w:r>
        <w:rPr>
          <w:rFonts w:ascii="Times New Roman" w:hAnsi="Times New Roman"/>
          <w:sz w:val="28"/>
          <w:szCs w:val="28"/>
        </w:rPr>
        <w:t>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Normal"/>
        <w:ind w:firstLine="567"/>
        <w:rPr>
          <w:rFonts w:ascii="Times New Roman" w:hAnsi="Times New Roman"/>
          <w:sz w:val="28"/>
          <w:szCs w:val="28"/>
        </w:rPr>
      </w:pPr>
      <w:r>
        <w:rPr>
          <w:rFonts w:ascii="Times New Roman" w:hAnsi="Times New Roman"/>
          <w:sz w:val="28"/>
          <w:szCs w:val="28"/>
        </w:rPr>
        <w:t>14) фьючерсный договор;</w:t>
      </w:r>
    </w:p>
    <w:p>
      <w:pPr>
        <w:pStyle w:val="Normal"/>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sz w:val="28"/>
          <w:szCs w:val="28"/>
        </w:rPr>
        <w:t>Данный порядок применяется также в случае использования счетов эскроу.</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pPr>
        <w:pStyle w:val="Normal"/>
        <w:ind w:firstLine="567"/>
        <w:rPr>
          <w:rFonts w:ascii="Times New Roman" w:hAnsi="Times New Roman"/>
          <w:sz w:val="28"/>
          <w:szCs w:val="28"/>
        </w:rPr>
      </w:pPr>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"Содержание обязательства" указывается вид страхования, в графе "</w:t>
      </w:r>
      <w:r>
        <w:rPr/>
        <w:t xml:space="preserve"> </w:t>
      </w:r>
      <w:r>
        <w:rPr>
          <w:rFonts w:ascii="Times New Roman" w:hAnsi="Times New Roman"/>
          <w:sz w:val="28"/>
          <w:szCs w:val="28"/>
        </w:rPr>
        <w:t>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pPr>
        <w:pStyle w:val="Normal"/>
        <w:ind w:firstLine="567"/>
        <w:rPr>
          <w:rFonts w:ascii="Times New Roman" w:hAnsi="Times New Roman"/>
          <w:sz w:val="28"/>
          <w:szCs w:val="28"/>
        </w:rPr>
      </w:pPr>
      <w:r>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pPr>
        <w:pStyle w:val="Normal"/>
        <w:ind w:firstLine="567"/>
        <w:rPr>
          <w:rFonts w:ascii="Times New Roman" w:hAnsi="Times New Roman"/>
          <w:sz w:val="28"/>
          <w:szCs w:val="28"/>
        </w:rPr>
      </w:pPr>
      <w:r>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pStyle w:val="Normal"/>
        <w:ind w:firstLine="567"/>
        <w:rPr>
          <w:rFonts w:ascii="Times New Roman" w:hAnsi="Times New Roman"/>
          <w:sz w:val="28"/>
          <w:szCs w:val="28"/>
        </w:rPr>
      </w:pPr>
      <w:r>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pPr>
        <w:pStyle w:val="Normal"/>
        <w:ind w:hanging="0"/>
        <w:jc w:val="left"/>
        <w:rPr>
          <w:rFonts w:ascii="Times New Roman" w:hAnsi="Times New Roman"/>
          <w:sz w:val="24"/>
          <w:szCs w:val="28"/>
        </w:rPr>
      </w:pPr>
      <w:r>
        <w:rPr>
          <w:rFonts w:ascii="Times New Roman" w:hAnsi="Times New Roman"/>
          <w:sz w:val="24"/>
          <w:szCs w:val="28"/>
        </w:rPr>
      </w:r>
      <w:r>
        <w:br w:type="page"/>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pPr>
        <w:pStyle w:val="Normal"/>
        <w:ind w:firstLine="851"/>
        <w:jc w:val="center"/>
        <w:rPr>
          <w:rFonts w:ascii="Times New Roman" w:hAnsi="Times New Roman"/>
          <w:sz w:val="24"/>
          <w:szCs w:val="28"/>
        </w:rPr>
      </w:pPr>
      <w:r>
        <w:rPr>
          <w:rFonts w:ascii="Times New Roman" w:hAnsi="Times New Roman"/>
          <w:sz w:val="24"/>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 настоящих Методических рекомендаций), местонахождение (адрес) в соответствии с пунктами 97 и 98 настоящих Методических рекомендаций, площадь (кв. м) в соответствии с пунктом 99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153 настоящих Методических рекомендаций, местонахождение организации (адрес), уставный капитал в соответствии с пунктом 154 настоящих Методических рекомендаций, доли участия в соответствии с пунктом 155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Pr/>
        <w:t xml:space="preserve"> </w:t>
      </w:r>
      <w:r>
        <w:rPr>
          <w:rStyle w:val="Style16"/>
          <w:rFonts w:cs="Times New Roman" w:ascii="Times New Roman" w:hAnsi="Times New Roman"/>
          <w:sz w:val="28"/>
          <w:szCs w:val="28"/>
          <w:shd w:fill="auto" w:val="clear"/>
        </w:rPr>
        <w:t>Для цифровых финансовых активов, цифровых прав и цифровой валюты также указывается дата их отчуждения.</w:t>
      </w:r>
    </w:p>
    <w:p>
      <w:pPr>
        <w:pStyle w:val="Normal"/>
        <w:widowControl w:val="false"/>
        <w:rPr/>
      </w:pPr>
      <w:r>
        <w:rPr/>
      </w:r>
    </w:p>
    <w:sectPr>
      <w:headerReference w:type="default" r:id="rId23"/>
      <w:type w:val="nextPage"/>
      <w:pgSz w:w="11906" w:h="16838"/>
      <w:pgMar w:left="1134" w:right="567" w:header="426"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MS Mincho">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0</w:t>
    </w:r>
    <w:r>
      <w:rPr>
        <w:sz w:val="28"/>
        <w:szCs w:val="28"/>
        <w:rFonts w:ascii="Times New Roman" w:hAnsi="Times New Roman"/>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2422" w:hanging="720"/>
      </w:pPr>
      <w:rPr>
        <w:sz w:val="28"/>
        <w:b/>
        <w:szCs w:val="28"/>
        <w:rFonts w:ascii="Times New Roman" w:hAnsi="Times New Roman"/>
        <w:color w:val="auto"/>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
    <w:lvl w:ilvl="0">
      <w:start w:val="1"/>
      <w:numFmt w:val="decimal"/>
      <w:lvlText w:val="%1)"/>
      <w:lvlJc w:val="left"/>
      <w:pPr>
        <w:ind w:left="1070" w:hanging="360"/>
      </w:pPr>
      <w:rPr>
        <w:sz w:val="28"/>
        <w:b w:val="false"/>
        <w:szCs w:val="28"/>
        <w:rFonts w:ascii="Times New Roman" w:hAnsi="Times New Roman" w:cs="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upperRoman"/>
      <w:lvlText w:val="%1."/>
      <w:lvlJc w:val="left"/>
      <w:pPr>
        <w:ind w:left="1080" w:hanging="720"/>
      </w:pPr>
      <w:rPr>
        <w:sz w:val="28"/>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7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3a5f"/>
    <w:pPr>
      <w:widowControl/>
      <w:bidi w:val="0"/>
      <w:ind w:firstLine="709"/>
      <w:jc w:val="both"/>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04bb5"/>
    <w:rPr/>
  </w:style>
  <w:style w:type="character" w:styleId="Style15" w:customStyle="1">
    <w:name w:val="Нижний колонтитул Знак"/>
    <w:basedOn w:val="DefaultParagraphFont"/>
    <w:link w:val="a5"/>
    <w:uiPriority w:val="99"/>
    <w:semiHidden/>
    <w:qFormat/>
    <w:rsid w:val="00204bb5"/>
    <w:rPr/>
  </w:style>
  <w:style w:type="character" w:styleId="Style16" w:customStyle="1">
    <w:name w:val="Основной текст Знак"/>
    <w:link w:val="a9"/>
    <w:qFormat/>
    <w:rsid w:val="00b85d9a"/>
    <w:rPr>
      <w:rFonts w:ascii="Calibri" w:hAnsi="Calibri" w:cs="Calibri"/>
      <w:shd w:fill="FFFFFF" w:val="clear"/>
    </w:rPr>
  </w:style>
  <w:style w:type="character" w:styleId="1" w:customStyle="1">
    <w:name w:val="Основной текст Знак1"/>
    <w:basedOn w:val="DefaultParagraphFont"/>
    <w:uiPriority w:val="99"/>
    <w:semiHidden/>
    <w:qFormat/>
    <w:rsid w:val="00b85d9a"/>
    <w:rPr/>
  </w:style>
  <w:style w:type="character" w:styleId="Appleconvertedspace" w:customStyle="1">
    <w:name w:val="apple-converted-space"/>
    <w:basedOn w:val="DefaultParagraphFont"/>
    <w:qFormat/>
    <w:rsid w:val="00fc77d0"/>
    <w:rPr/>
  </w:style>
  <w:style w:type="character" w:styleId="Style17" w:customStyle="1">
    <w:name w:val="Текст сноски Знак"/>
    <w:link w:val="ac"/>
    <w:uiPriority w:val="99"/>
    <w:qFormat/>
    <w:rsid w:val="006f1682"/>
    <w:rPr>
      <w:rFonts w:ascii="Times New Roman" w:hAnsi="Times New Roman" w:eastAsia="Times New Roman" w:cs="Times New Roman"/>
      <w:sz w:val="20"/>
      <w:szCs w:val="20"/>
      <w:lang w:eastAsia="ru-RU"/>
    </w:rPr>
  </w:style>
  <w:style w:type="character" w:styleId="Style18">
    <w:name w:val="Привязка сноски"/>
    <w:rPr>
      <w:vertAlign w:val="superscript"/>
    </w:rPr>
  </w:style>
  <w:style w:type="character" w:styleId="FootnoteCharacters">
    <w:name w:val="Footnote Characters"/>
    <w:uiPriority w:val="99"/>
    <w:semiHidden/>
    <w:qFormat/>
    <w:rsid w:val="006f1682"/>
    <w:rPr>
      <w:vertAlign w:val="superscript"/>
    </w:rPr>
  </w:style>
  <w:style w:type="character" w:styleId="FontStyle12" w:customStyle="1">
    <w:name w:val="Font Style12"/>
    <w:qFormat/>
    <w:rsid w:val="006e0504"/>
    <w:rPr>
      <w:rFonts w:ascii="Times New Roman" w:hAnsi="Times New Roman" w:cs="Times New Roman"/>
      <w:sz w:val="24"/>
      <w:szCs w:val="24"/>
    </w:rPr>
  </w:style>
  <w:style w:type="character" w:styleId="Style19" w:customStyle="1">
    <w:name w:val="Основной текст_"/>
    <w:link w:val="10"/>
    <w:qFormat/>
    <w:rsid w:val="004d5c83"/>
    <w:rPr>
      <w:sz w:val="28"/>
      <w:szCs w:val="28"/>
      <w:shd w:fill="FFFFFF" w:val="clear"/>
    </w:rPr>
  </w:style>
  <w:style w:type="character" w:styleId="Style20" w:customStyle="1">
    <w:name w:val="Текст выноски Знак"/>
    <w:link w:val="af0"/>
    <w:uiPriority w:val="99"/>
    <w:semiHidden/>
    <w:qFormat/>
    <w:rsid w:val="00c33beb"/>
    <w:rPr>
      <w:rFonts w:ascii="Tahoma" w:hAnsi="Tahoma" w:cs="Tahoma"/>
      <w:sz w:val="16"/>
      <w:szCs w:val="16"/>
    </w:rPr>
  </w:style>
  <w:style w:type="character" w:styleId="Annotationreference">
    <w:name w:val="annotation reference"/>
    <w:uiPriority w:val="99"/>
    <w:semiHidden/>
    <w:unhideWhenUsed/>
    <w:qFormat/>
    <w:rsid w:val="003372d5"/>
    <w:rPr>
      <w:sz w:val="16"/>
      <w:szCs w:val="16"/>
    </w:rPr>
  </w:style>
  <w:style w:type="character" w:styleId="Style21" w:customStyle="1">
    <w:name w:val="Текст примечания Знак"/>
    <w:link w:val="af3"/>
    <w:uiPriority w:val="99"/>
    <w:qFormat/>
    <w:rsid w:val="003372d5"/>
    <w:rPr>
      <w:sz w:val="20"/>
      <w:szCs w:val="20"/>
    </w:rPr>
  </w:style>
  <w:style w:type="character" w:styleId="Style22" w:customStyle="1">
    <w:name w:val="Тема примечания Знак"/>
    <w:link w:val="af5"/>
    <w:uiPriority w:val="99"/>
    <w:semiHidden/>
    <w:qFormat/>
    <w:rsid w:val="003372d5"/>
    <w:rPr>
      <w:b/>
      <w:bCs/>
      <w:sz w:val="20"/>
      <w:szCs w:val="20"/>
    </w:rPr>
  </w:style>
  <w:style w:type="character" w:styleId="11" w:customStyle="1">
    <w:name w:val="Основной текст Знак11"/>
    <w:uiPriority w:val="99"/>
    <w:semiHidden/>
    <w:qFormat/>
    <w:rsid w:val="00ed2c6c"/>
    <w:rPr>
      <w:rFonts w:cs="Times New Roman"/>
    </w:rPr>
  </w:style>
  <w:style w:type="character" w:styleId="Style23">
    <w:name w:val="Интернет-ссылка"/>
    <w:basedOn w:val="DefaultParagraphFont"/>
    <w:uiPriority w:val="99"/>
    <w:unhideWhenUsed/>
    <w:rsid w:val="00481001"/>
    <w:rPr>
      <w:color w:val="0563C1" w:themeColor="hyperlink"/>
      <w:u w:val="single"/>
    </w:rPr>
  </w:style>
  <w:style w:type="character" w:styleId="ListLabel1">
    <w:name w:val="ListLabel 1"/>
    <w:qFormat/>
    <w:rPr>
      <w:rFonts w:ascii="Times New Roman" w:hAnsi="Times New Roman"/>
      <w:b/>
      <w:color w:val="auto"/>
      <w:sz w:val="28"/>
      <w:szCs w:val="28"/>
    </w:rPr>
  </w:style>
  <w:style w:type="character" w:styleId="ListLabel2">
    <w:name w:val="ListLabel 2"/>
    <w:qFormat/>
    <w:rPr>
      <w:rFonts w:ascii="Times New Roman" w:hAnsi="Times New Roman" w:cs="Times New Roman"/>
      <w:b w:val="false"/>
      <w:sz w:val="28"/>
      <w:szCs w:val="28"/>
    </w:rPr>
  </w:style>
  <w:style w:type="character" w:styleId="ListLabel3">
    <w:name w:val="ListLabel 3"/>
    <w:qFormat/>
    <w:rPr>
      <w:rFonts w:eastAsia="Calibri" w:cs="Times New Roman"/>
      <w:color w:val="auto"/>
    </w:rPr>
  </w:style>
  <w:style w:type="character" w:styleId="ListLabel4">
    <w:name w:val="ListLabel 4"/>
    <w:qFormat/>
    <w:rPr>
      <w:rFonts w:ascii="Times New Roman" w:hAnsi="Times New Roman" w:cs="Times New Roman"/>
      <w:b/>
      <w:sz w:val="28"/>
    </w:rPr>
  </w:style>
  <w:style w:type="character" w:styleId="ListLabel5">
    <w:name w:val="ListLabel 5"/>
    <w:qFormat/>
    <w:rPr>
      <w:rFonts w:cs="Times New Roman"/>
      <w:sz w:val="28"/>
    </w:rPr>
  </w:style>
  <w:style w:type="character" w:styleId="ListLabel6">
    <w:name w:val="ListLabel 6"/>
    <w:qFormat/>
    <w:rPr>
      <w:rFonts w:ascii="Times New Roman" w:hAnsi="Times New Roman"/>
      <w:sz w:val="28"/>
      <w:szCs w:val="28"/>
    </w:rPr>
  </w:style>
  <w:style w:type="character" w:styleId="ListLabel7">
    <w:name w:val="ListLabel 7"/>
    <w:qFormat/>
    <w:rPr/>
  </w:style>
  <w:style w:type="character" w:styleId="ListLabel8">
    <w:name w:val="ListLabel 8"/>
    <w:qFormat/>
    <w:rPr>
      <w:rFonts w:ascii="Times New Roman" w:hAnsi="Times New Roman"/>
      <w:sz w:val="28"/>
      <w:szCs w:val="28"/>
    </w:rPr>
  </w:style>
  <w:style w:type="character" w:styleId="ListLabel9">
    <w:name w:val="ListLabel 9"/>
    <w:qFormat/>
    <w:rPr>
      <w:rFonts w:ascii="Times New Roman" w:hAnsi="Times New Roman" w:eastAsia="Times New Roman"/>
      <w:bCs/>
      <w:sz w:val="28"/>
      <w:szCs w:val="28"/>
      <w:lang w:eastAsia="ru-RU"/>
    </w:rPr>
  </w:style>
  <w:style w:type="paragraph" w:styleId="Style24">
    <w:name w:val="Заголовок"/>
    <w:basedOn w:val="Normal"/>
    <w:next w:val="Style25"/>
    <w:qFormat/>
    <w:pPr>
      <w:keepNext w:val="true"/>
      <w:spacing w:before="240" w:after="120"/>
    </w:pPr>
    <w:rPr>
      <w:rFonts w:ascii="Liberation Sans" w:hAnsi="Liberation Sans" w:eastAsia="Tahoma" w:cs="Droid Sans Devanagari"/>
      <w:sz w:val="28"/>
      <w:szCs w:val="28"/>
    </w:rPr>
  </w:style>
  <w:style w:type="paragraph" w:styleId="Style25">
    <w:name w:val="Body Text"/>
    <w:basedOn w:val="Normal"/>
    <w:link w:val="a8"/>
    <w:rsid w:val="00b85d9a"/>
    <w:pPr>
      <w:widowControl w:val="false"/>
      <w:shd w:val="clear" w:color="auto" w:fill="FFFFFF"/>
      <w:spacing w:lineRule="exact" w:line="298" w:before="0" w:after="780"/>
      <w:ind w:hanging="1600"/>
    </w:pPr>
    <w:rPr>
      <w:rFonts w:cs="Calibri"/>
    </w:rPr>
  </w:style>
  <w:style w:type="paragraph" w:styleId="Style26">
    <w:name w:val="List"/>
    <w:basedOn w:val="Style25"/>
    <w:pPr>
      <w:shd w:fill="FFFFFF" w:val="clear"/>
    </w:pPr>
    <w:rPr>
      <w:rFonts w:cs="Droid Sans Devanagari"/>
    </w:rPr>
  </w:style>
  <w:style w:type="paragraph" w:styleId="Style27">
    <w:name w:val="Caption"/>
    <w:basedOn w:val="Normal"/>
    <w:qFormat/>
    <w:pPr>
      <w:suppressLineNumbers/>
      <w:spacing w:before="120" w:after="120"/>
    </w:pPr>
    <w:rPr>
      <w:rFonts w:cs="Droid Sans Devanagari"/>
      <w:i/>
      <w:iCs/>
      <w:sz w:val="24"/>
      <w:szCs w:val="24"/>
    </w:rPr>
  </w:style>
  <w:style w:type="paragraph" w:styleId="Style28">
    <w:name w:val="Указатель"/>
    <w:basedOn w:val="Normal"/>
    <w:qFormat/>
    <w:pPr>
      <w:suppressLineNumbers/>
    </w:pPr>
    <w:rPr>
      <w:rFonts w:cs="Droid Sans Devanagari"/>
    </w:rPr>
  </w:style>
  <w:style w:type="paragraph" w:styleId="Style29">
    <w:name w:val="Header"/>
    <w:basedOn w:val="Normal"/>
    <w:link w:val="a4"/>
    <w:uiPriority w:val="99"/>
    <w:unhideWhenUsed/>
    <w:rsid w:val="00204bb5"/>
    <w:pPr>
      <w:tabs>
        <w:tab w:val="clear" w:pos="709"/>
        <w:tab w:val="center" w:pos="4677" w:leader="none"/>
        <w:tab w:val="right" w:pos="9355" w:leader="none"/>
      </w:tabs>
    </w:pPr>
    <w:rPr/>
  </w:style>
  <w:style w:type="paragraph" w:styleId="Style30">
    <w:name w:val="Footer"/>
    <w:basedOn w:val="Normal"/>
    <w:link w:val="a6"/>
    <w:uiPriority w:val="99"/>
    <w:semiHidden/>
    <w:unhideWhenUsed/>
    <w:rsid w:val="00204bb5"/>
    <w:pPr>
      <w:tabs>
        <w:tab w:val="clear" w:pos="709"/>
        <w:tab w:val="center" w:pos="4677" w:leader="none"/>
        <w:tab w:val="right" w:pos="9355" w:leader="none"/>
      </w:tabs>
    </w:pPr>
    <w:rPr/>
  </w:style>
  <w:style w:type="paragraph" w:styleId="ConsPlusNonformat" w:customStyle="1">
    <w:name w:val="ConsPlusNonformat"/>
    <w:uiPriority w:val="99"/>
    <w:qFormat/>
    <w:rsid w:val="00aa4287"/>
    <w:pPr>
      <w:widowControl/>
      <w:bidi w:val="0"/>
      <w:ind w:firstLine="709"/>
      <w:jc w:val="both"/>
    </w:pPr>
    <w:rPr>
      <w:rFonts w:ascii="Courier New" w:hAnsi="Courier New" w:cs="Courier New" w:eastAsia="Calibri"/>
      <w:color w:val="auto"/>
      <w:kern w:val="0"/>
      <w:sz w:val="22"/>
      <w:szCs w:val="20"/>
      <w:lang w:eastAsia="en-US" w:val="ru-RU" w:bidi="ar-SA"/>
    </w:rPr>
  </w:style>
  <w:style w:type="paragraph" w:styleId="ListParagraph">
    <w:name w:val="List Paragraph"/>
    <w:basedOn w:val="Normal"/>
    <w:uiPriority w:val="34"/>
    <w:qFormat/>
    <w:rsid w:val="0007553a"/>
    <w:pPr>
      <w:spacing w:before="0" w:after="0"/>
      <w:ind w:left="720" w:firstLine="709"/>
      <w:contextualSpacing/>
    </w:pPr>
    <w:rPr/>
  </w:style>
  <w:style w:type="paragraph" w:styleId="Default" w:customStyle="1">
    <w:name w:val="Default"/>
    <w:qFormat/>
    <w:rsid w:val="00eb4a64"/>
    <w:pPr>
      <w:widowControl/>
      <w:bidi w:val="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rsid w:val="00fc77d0"/>
    <w:pPr>
      <w:spacing w:before="240" w:after="240"/>
    </w:pPr>
    <w:rPr>
      <w:rFonts w:ascii="Times New Roman" w:hAnsi="Times New Roman" w:eastAsia="Times New Roman"/>
      <w:sz w:val="24"/>
      <w:szCs w:val="24"/>
      <w:lang w:eastAsia="ru-RU"/>
    </w:rPr>
  </w:style>
  <w:style w:type="paragraph" w:styleId="Style31">
    <w:name w:val="Footnote Text"/>
    <w:basedOn w:val="Normal"/>
    <w:link w:val="ad"/>
    <w:uiPriority w:val="99"/>
    <w:rsid w:val="006f1682"/>
    <w:pPr/>
    <w:rPr>
      <w:rFonts w:ascii="Times New Roman" w:hAnsi="Times New Roman" w:eastAsia="Times New Roman"/>
      <w:sz w:val="20"/>
      <w:szCs w:val="20"/>
      <w:lang w:eastAsia="ru-RU"/>
    </w:rPr>
  </w:style>
  <w:style w:type="paragraph" w:styleId="12" w:customStyle="1">
    <w:name w:val="Основной текст1"/>
    <w:basedOn w:val="Normal"/>
    <w:link w:val="af"/>
    <w:qFormat/>
    <w:rsid w:val="004d5c83"/>
    <w:pPr>
      <w:shd w:val="clear" w:color="auto" w:fill="FFFFFF"/>
      <w:spacing w:lineRule="auto" w:before="0" w:after="420"/>
      <w:ind w:hanging="420"/>
      <w:jc w:val="center"/>
    </w:pPr>
    <w:rPr>
      <w:sz w:val="28"/>
      <w:szCs w:val="28"/>
    </w:rPr>
  </w:style>
  <w:style w:type="paragraph" w:styleId="BalloonText">
    <w:name w:val="Balloon Text"/>
    <w:basedOn w:val="Normal"/>
    <w:link w:val="af1"/>
    <w:uiPriority w:val="99"/>
    <w:semiHidden/>
    <w:unhideWhenUsed/>
    <w:qFormat/>
    <w:rsid w:val="00c33beb"/>
    <w:pPr/>
    <w:rPr>
      <w:rFonts w:ascii="Tahoma" w:hAnsi="Tahoma" w:cs="Tahoma"/>
      <w:sz w:val="16"/>
      <w:szCs w:val="16"/>
    </w:rPr>
  </w:style>
  <w:style w:type="paragraph" w:styleId="Annotationtext">
    <w:name w:val="annotation text"/>
    <w:basedOn w:val="Normal"/>
    <w:link w:val="af4"/>
    <w:uiPriority w:val="99"/>
    <w:unhideWhenUsed/>
    <w:qFormat/>
    <w:rsid w:val="003372d5"/>
    <w:pPr/>
    <w:rPr>
      <w:sz w:val="20"/>
      <w:szCs w:val="20"/>
    </w:rPr>
  </w:style>
  <w:style w:type="paragraph" w:styleId="Annotationsubject">
    <w:name w:val="annotation subject"/>
    <w:basedOn w:val="Annotationtext"/>
    <w:next w:val="Annotationtext"/>
    <w:link w:val="af6"/>
    <w:uiPriority w:val="99"/>
    <w:semiHidden/>
    <w:unhideWhenUsed/>
    <w:qFormat/>
    <w:rsid w:val="003372d5"/>
    <w:pPr/>
    <w:rPr>
      <w:b/>
      <w:bCs/>
    </w:rPr>
  </w:style>
  <w:style w:type="paragraph" w:styleId="ConsPlusNormal" w:customStyle="1">
    <w:name w:val="ConsPlusNormal"/>
    <w:qFormat/>
    <w:rsid w:val="0085070c"/>
    <w:pPr>
      <w:widowControl/>
      <w:bidi w:val="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rsid w:val="00247b5a"/>
    <w:pPr>
      <w:widowControl/>
      <w:bidi w:val="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a14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anticorruption/spravki_bk" TargetMode="External"/><Relationship Id="rId11" Type="http://schemas.openxmlformats.org/officeDocument/2006/relationships/hyperlink" Target="https://www.cbr.ru/currency_base/daily/" TargetMode="External"/><Relationship Id="rId12" Type="http://schemas.openxmlformats.org/officeDocument/2006/relationships/hyperlink" Target="https://www.gibdd.ru/r/77/contacts/div1145039/" TargetMode="External"/><Relationship Id="rId13" Type="http://schemas.openxmlformats.org/officeDocument/2006/relationships/hyperlink" Target="https://www.gibdd.ru/r/66/contacts/div1165058/" TargetMode="External"/><Relationship Id="rId14" Type="http://schemas.openxmlformats.org/officeDocument/2006/relationships/hyperlink" Target="https://www.gibdd.ru/r/66/contacts/div1165043/" TargetMode="External"/><Relationship Id="rId15" Type="http://schemas.openxmlformats.org/officeDocument/2006/relationships/hyperlink" Target="http://www.cbr.ru/finm_infrastructure/oper/" TargetMode="External"/><Relationship Id="rId16" Type="http://schemas.openxmlformats.org/officeDocument/2006/relationships/hyperlink" Target="https://www.cbr.ru/hd_base/metall/metall_base_new/" TargetMode="External"/><Relationship Id="rId17" Type="http://schemas.openxmlformats.org/officeDocument/2006/relationships/hyperlink" Target="https://www.cbr.ru/currency_base/" TargetMode="External"/><Relationship Id="rId18" Type="http://schemas.openxmlformats.org/officeDocument/2006/relationships/hyperlink" Target="https://www.nalog.ru/rn77/related_activities/accounting/bank_account/" TargetMode="External"/><Relationship Id="rId19" Type="http://schemas.openxmlformats.org/officeDocument/2006/relationships/hyperlink" Target="https://www.cbr.ru/banking_sector/likvidbase/" TargetMode="External"/><Relationship Id="rId20" Type="http://schemas.openxmlformats.org/officeDocument/2006/relationships/hyperlink" Target="https://www.cbr.ru/currency_base/daily/" TargetMode="External"/><Relationship Id="rId21" Type="http://schemas.openxmlformats.org/officeDocument/2006/relationships/hyperlink" Target="https://www.cbr.ru/currency_base/daily/" TargetMode="External"/><Relationship Id="rId22" Type="http://schemas.openxmlformats.org/officeDocument/2006/relationships/hyperlink" Target="https://www.cbr.ru/currency_base/daily/" TargetMode="External"/><Relationship Id="rId23" Type="http://schemas.openxmlformats.org/officeDocument/2006/relationships/header" Target="head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LibreOffice/6.2.6.2$Linux_X86_64 LibreOffice_project/20$Build-2</Application>
  <Pages>31</Pages>
  <Words>19293</Words>
  <Characters>135295</Characters>
  <CharactersWithSpaces>153823</CharactersWithSpaces>
  <Paragraphs>640</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2021-12-10T11:46:00Z</dcterms:created>
  <dc:creator>KovalkovaEA</dc:creator>
  <dc:description/>
  <dc:language>ru-RU</dc:language>
  <cp:lastModifiedBy>123</cp:lastModifiedBy>
  <cp:lastPrinted>2021-10-25T14:57:00Z</cp:lastPrinted>
  <dcterms:modified xsi:type="dcterms:W3CDTF">2021-12-23T15:41:00Z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